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22C2E" w14:textId="7C9E0A40" w:rsidR="00562DCA" w:rsidRDefault="00505C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BIODIVERZITET, ODRŽIVOST, INOVATIVNOST</w:t>
      </w:r>
    </w:p>
    <w:p w14:paraId="62159EF9" w14:textId="77777777" w:rsidR="00562DCA" w:rsidRDefault="00562D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F8336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ODRŽIVA POLJOPRIVREDA</w:t>
      </w:r>
    </w:p>
    <w:p w14:paraId="46A2AA22" w14:textId="7406B100" w:rsidR="00505CD3" w:rsidRDefault="00505CD3" w:rsidP="005D3B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D3">
        <w:rPr>
          <w:rFonts w:ascii="Times New Roman" w:eastAsia="Times New Roman" w:hAnsi="Times New Roman" w:cs="Times New Roman"/>
          <w:sz w:val="24"/>
          <w:szCs w:val="24"/>
        </w:rPr>
        <w:t>Osnovna pretpostavka održive poljoprivrede je zadovoljenje ljudskih potreba za hranom i vlaknima,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</w:t>
      </w: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najefikasnije korišćenje dostupnih resursa i smanjenje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uklanjanje niti u prirodnom okruženju. Održiva poljoprivreda je ključni element izgradnje održivog društva i reagovanja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ekološke niti. Ovaj koncept ima za cilj da poveže ekonomski razvoj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zaštitom prirodnih resursa i globalnom ravnotežom ekosistema. Održiva poljoprivreda integri</w:t>
      </w:r>
      <w:r w:rsidR="005D3B96">
        <w:rPr>
          <w:rFonts w:ascii="Times New Roman" w:eastAsia="Times New Roman" w:hAnsi="Times New Roman" w:cs="Times New Roman"/>
          <w:sz w:val="24"/>
          <w:szCs w:val="24"/>
        </w:rPr>
        <w:t>saće</w:t>
      </w: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tri glavna cilja: zdravu životnu sredinu, socijalnu i ekonomsku pravičnost i ekonomsku isplativost.</w:t>
      </w:r>
    </w:p>
    <w:p w14:paraId="043B4943" w14:textId="73FA23F5" w:rsidR="00505CD3" w:rsidRDefault="00505CD3" w:rsidP="004D70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Iako je prelazak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održivije sisteme cilj EU već nekoliko godina, proizvodnja hrane i dalje doprinosi zagađenju životne sredine, gubitku biodiverziteta i klimatskim prom</w:t>
      </w:r>
      <w:r w:rsidR="005D3B9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enama. Stoga je kao pokušaj pronalaska ambicioznog i holističkog odgovora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izazove povezane sa životnom sredinom stvoren Evropski zeleni dogovor. To je inkluzivna strategija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rasta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koja za cilj ima da transformiše EU u održivu, </w:t>
      </w:r>
      <w:r w:rsidR="004D70F2" w:rsidRPr="00505CD3">
        <w:rPr>
          <w:rFonts w:ascii="Times New Roman" w:eastAsia="Times New Roman" w:hAnsi="Times New Roman" w:cs="Times New Roman"/>
          <w:sz w:val="24"/>
          <w:szCs w:val="24"/>
        </w:rPr>
        <w:t xml:space="preserve">modernu ekonomiju </w:t>
      </w: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4D70F2">
        <w:rPr>
          <w:rFonts w:ascii="Times New Roman" w:eastAsia="Times New Roman" w:hAnsi="Times New Roman" w:cs="Times New Roman"/>
          <w:sz w:val="24"/>
          <w:szCs w:val="24"/>
        </w:rPr>
        <w:t>efikasnim</w:t>
      </w:r>
      <w:r w:rsidR="004D70F2" w:rsidRPr="0050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resursima i da Evropu efikasno učini prvim klimatski neutralnim kontinentom do 2050.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. Cilj ovih ciljeva je poboljšanje zdravlja i kvaliteta života građana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EU .</w:t>
      </w:r>
      <w:proofErr w:type="gramEnd"/>
    </w:p>
    <w:p w14:paraId="008C3D80" w14:textId="32999AE3" w:rsidR="00505CD3" w:rsidRDefault="00505CD3" w:rsidP="004D70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Poljoprivrednici, poljoprivredno-prehrambena preduzeća, šumari i seoske zajednice moraju da odigraju ključnu ulogu u nekoliko ključnih oblasti politike Zelenog </w:t>
      </w:r>
      <w:r w:rsidR="004D70F2">
        <w:rPr>
          <w:rFonts w:ascii="Times New Roman" w:eastAsia="Times New Roman" w:hAnsi="Times New Roman" w:cs="Times New Roman"/>
          <w:sz w:val="24"/>
          <w:szCs w:val="24"/>
        </w:rPr>
        <w:t>dogovora</w:t>
      </w:r>
      <w:r w:rsidRPr="00505CD3">
        <w:rPr>
          <w:rFonts w:ascii="Times New Roman" w:eastAsia="Times New Roman" w:hAnsi="Times New Roman" w:cs="Times New Roman"/>
          <w:sz w:val="24"/>
          <w:szCs w:val="24"/>
        </w:rPr>
        <w:t>, uključujući:</w:t>
      </w:r>
    </w:p>
    <w:p w14:paraId="0C263E28" w14:textId="306595DA" w:rsidR="00505CD3" w:rsidRDefault="00505CD3" w:rsidP="004D70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izgradnj</w:t>
      </w:r>
      <w:r w:rsidR="004D70F2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održivog sistema hrane kroz strategiju </w:t>
      </w:r>
      <w:r w:rsidR="004D70F2">
        <w:rPr>
          <w:rFonts w:ascii="Times New Roman" w:eastAsia="Times New Roman" w:hAnsi="Times New Roman" w:cs="Times New Roman"/>
          <w:sz w:val="24"/>
          <w:szCs w:val="24"/>
        </w:rPr>
        <w:t>Od Farme fo Viljuške (From Farm to Fork Strategy)</w:t>
      </w:r>
      <w:r w:rsidRPr="00505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954473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dodavanje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nove strategije biodiverziteta zaštitom i unapređivanjem raznolikosti biljaka i životinja u ruralnom ekosistemu;</w:t>
      </w:r>
    </w:p>
    <w:p w14:paraId="043E93C8" w14:textId="6363B81B" w:rsidR="00505CD3" w:rsidRDefault="00505CD3" w:rsidP="004D70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doprinos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klimatskim akcijama Zelenog </w:t>
      </w:r>
      <w:r w:rsidR="004D70F2">
        <w:rPr>
          <w:rFonts w:ascii="Times New Roman" w:eastAsia="Times New Roman" w:hAnsi="Times New Roman" w:cs="Times New Roman"/>
          <w:sz w:val="24"/>
          <w:szCs w:val="24"/>
        </w:rPr>
        <w:t>dogovora</w:t>
      </w: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za postizanje cilja nulte emisije u EU do 2050;</w:t>
      </w:r>
    </w:p>
    <w:p w14:paraId="49F95900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podržavanje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ažurirane šumarske strategije koja će biti objavljena 2020.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>, održavanjem zdravih šuma;</w:t>
      </w:r>
    </w:p>
    <w:p w14:paraId="652E662A" w14:textId="25BCC123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doprinos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 xml:space="preserve"> akcionom planu sa nultim zagađenjem, koji će biti postavljen 2021. </w:t>
      </w:r>
      <w:proofErr w:type="gramStart"/>
      <w:r w:rsidRPr="00505CD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505CD3">
        <w:rPr>
          <w:rFonts w:ascii="Times New Roman" w:eastAsia="Times New Roman" w:hAnsi="Times New Roman" w:cs="Times New Roman"/>
          <w:sz w:val="24"/>
          <w:szCs w:val="24"/>
        </w:rPr>
        <w:t>, zaštitom prirodnih resursa kao što su voda, vazduh i zemljište.</w:t>
      </w:r>
      <w:r w:rsidR="00BF2A97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1A8BDAB7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25CE6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2A2CC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C2B47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511FF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016E4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AE598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6DDF9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E668E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15244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4FF05" w14:textId="77777777" w:rsidR="00505CD3" w:rsidRDefault="00505CD3" w:rsidP="00505C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86055" w14:textId="7516E3CF" w:rsidR="00562DCA" w:rsidRDefault="004D70F2" w:rsidP="004D70F2">
      <w:pPr>
        <w:spacing w:line="240" w:lineRule="auto"/>
        <w:jc w:val="both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Slika</w:t>
      </w:r>
      <w:r w:rsidR="009F3B7E">
        <w:rPr>
          <w:i/>
          <w:color w:val="44546A"/>
          <w:sz w:val="18"/>
          <w:szCs w:val="18"/>
        </w:rPr>
        <w:t xml:space="preserve"> 1. </w:t>
      </w:r>
      <w:r>
        <w:rPr>
          <w:i/>
          <w:color w:val="44546A"/>
          <w:sz w:val="18"/>
          <w:szCs w:val="18"/>
        </w:rPr>
        <w:t>Evropski zeleni dogovor-glabni ciljevi</w:t>
      </w:r>
    </w:p>
    <w:p w14:paraId="6BB471C5" w14:textId="77777777" w:rsidR="00562DCA" w:rsidRDefault="009F3B7E">
      <w:pPr>
        <w:keepNext/>
        <w:shd w:val="clear" w:color="auto" w:fill="FFFFFF"/>
        <w:spacing w:before="280" w:after="280" w:line="240" w:lineRule="auto"/>
      </w:pPr>
      <w:r>
        <w:rPr>
          <w:noProof/>
          <w:lang w:val="en-US" w:eastAsia="en-US"/>
        </w:rPr>
        <w:drawing>
          <wp:inline distT="0" distB="0" distL="0" distR="0" wp14:anchorId="659A0898" wp14:editId="61489BB7">
            <wp:extent cx="5357416" cy="33495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416" cy="334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D8B0E" w14:textId="06957D0A" w:rsidR="00562DCA" w:rsidRDefault="006F4455" w:rsidP="006F445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Izvor: Evropska Komisija</w:t>
      </w:r>
    </w:p>
    <w:p w14:paraId="5F4C4E8F" w14:textId="77777777" w:rsidR="00562DCA" w:rsidRDefault="00562DCA"/>
    <w:p w14:paraId="0D6E9FD1" w14:textId="77777777" w:rsidR="00562DCA" w:rsidRDefault="00562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8BBDC" w14:textId="77777777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740B">
        <w:rPr>
          <w:rFonts w:ascii="Times New Roman" w:eastAsia="Times New Roman" w:hAnsi="Times New Roman" w:cs="Times New Roman"/>
          <w:sz w:val="24"/>
          <w:szCs w:val="24"/>
          <w:u w:val="single"/>
        </w:rPr>
        <w:t>ZAJEDNIČKA POLJOPRIVREDNA POLITIKA</w:t>
      </w:r>
    </w:p>
    <w:p w14:paraId="1456ECA8" w14:textId="77777777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5C8DD09" w14:textId="70FA442C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Zajedn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ička poljoprivredna politika EU- ZPP 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(CAP) predstavlja partnerstvo između poljoprivrede i društva, kao i Evrope i njenih poljoprivrednika. Cilj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joj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je:</w:t>
      </w:r>
    </w:p>
    <w:p w14:paraId="13F5C987" w14:textId="77777777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0CA51E1E" w14:textId="127CB307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● </w:t>
      </w:r>
      <w:proofErr w:type="gramStart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podržati</w:t>
      </w:r>
      <w:proofErr w:type="gramEnd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poljoprivrednike i poboljšati poljoprivrednu produktivnost, osiguravajući stabiln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o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snabdijevanje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pristupačnom hranom;</w:t>
      </w:r>
    </w:p>
    <w:p w14:paraId="10F90B8B" w14:textId="77777777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● </w:t>
      </w:r>
      <w:proofErr w:type="gramStart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zaštititi</w:t>
      </w:r>
      <w:proofErr w:type="gramEnd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poljoprivrednike Evropske unije da razumno zarađuju za život;</w:t>
      </w:r>
    </w:p>
    <w:p w14:paraId="0F4D16BD" w14:textId="54ECC9F1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● </w:t>
      </w:r>
      <w:proofErr w:type="gramStart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pomoći</w:t>
      </w:r>
      <w:proofErr w:type="gramEnd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u suočavanju sa klimatskim prom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j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enama i održivom upravljanju prirodnim resursima;</w:t>
      </w:r>
    </w:p>
    <w:p w14:paraId="1C2EF71C" w14:textId="77777777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● </w:t>
      </w:r>
      <w:proofErr w:type="gramStart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održavati</w:t>
      </w:r>
      <w:proofErr w:type="gramEnd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ruralna područja i pejzaže širom EU;</w:t>
      </w:r>
    </w:p>
    <w:p w14:paraId="6CC6C2ED" w14:textId="1FBAD766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● </w:t>
      </w:r>
      <w:proofErr w:type="gramStart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održava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nje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seoske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ekonomij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e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promovisanjem radnih m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j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esta u poljoprivredi, poljoprivredno-prehrambenoj industriji i povezanim sektorima.</w:t>
      </w:r>
      <w:r w:rsidR="002822A7">
        <w:rPr>
          <w:rStyle w:val="FootnoteReference"/>
          <w:rFonts w:ascii="Times New Roman" w:eastAsia="Times New Roman" w:hAnsi="Times New Roman" w:cs="Times New Roman"/>
          <w:color w:val="404040"/>
          <w:sz w:val="24"/>
          <w:szCs w:val="24"/>
        </w:rPr>
        <w:footnoteReference w:id="2"/>
      </w:r>
    </w:p>
    <w:p w14:paraId="1098F8BE" w14:textId="77777777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0C9EAE43" w14:textId="0F363699" w:rsidR="00CD740B" w:rsidRDefault="00CD740B" w:rsidP="00CD7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Poljski poljoprivrednici su dužni da se pridržavaju odredbi Zajedničke poljoprivredne politike, koja, između ostalog, reguliše pitanja koja se odnose </w:t>
      </w:r>
      <w:proofErr w:type="gramStart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>na</w:t>
      </w:r>
      <w:proofErr w:type="gramEnd"/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zaštitu poljoprivrednog okruženja koje se koristi u procesu poljoprivredne proizvodnje.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ZPP</w:t>
      </w:r>
      <w:r w:rsidRPr="00CD740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kombinuje socijalni, ekonomski i ekološki pristup koji će dovesti EU do postizanja održivog poljoprivrednog sistema.</w:t>
      </w:r>
    </w:p>
    <w:p w14:paraId="3305308C" w14:textId="77777777" w:rsidR="00CD740B" w:rsidRDefault="00CD740B" w:rsidP="00CD740B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4C2DE125" w14:textId="4BAD4D13" w:rsidR="00562DCA" w:rsidRDefault="00CD740B" w:rsidP="00CD740B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Slika2.</w:t>
      </w:r>
      <w:r w:rsidR="009F3B7E">
        <w:rPr>
          <w:i/>
          <w:color w:val="44546A"/>
          <w:sz w:val="18"/>
          <w:szCs w:val="18"/>
        </w:rPr>
        <w:t xml:space="preserve"> </w:t>
      </w:r>
      <w:r>
        <w:rPr>
          <w:i/>
          <w:color w:val="44546A"/>
          <w:sz w:val="18"/>
          <w:szCs w:val="18"/>
        </w:rPr>
        <w:t>Tri elementa održive poljoprivrede</w:t>
      </w:r>
    </w:p>
    <w:p w14:paraId="172323DB" w14:textId="77777777" w:rsidR="00562DCA" w:rsidRDefault="009F3B7E">
      <w:pPr>
        <w:keepNext/>
        <w:spacing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398A95EB" wp14:editId="14A63B6E">
            <wp:extent cx="2582147" cy="247228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147" cy="247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23531D" w14:textId="237720D4" w:rsidR="00562DCA" w:rsidRDefault="00CD740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>Izvor: Evropska komisija</w:t>
      </w:r>
    </w:p>
    <w:p w14:paraId="0DC1294E" w14:textId="19E9A959" w:rsidR="00CD740B" w:rsidRPr="00CD740B" w:rsidRDefault="00CD740B" w:rsidP="00CD74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Prethodna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ZPP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bila je u periodu 2014-2020. Zakonske pr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ij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edloge o novom ZPP za period 2021-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20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27. </w:t>
      </w:r>
      <w:proofErr w:type="gramStart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redstavila</w:t>
      </w:r>
      <w:proofErr w:type="gramEnd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je Evropska komisija u junu 2018. 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</w:rPr>
        <w:t>Oni osiguravaju da ZPP i dalje ima za cilj pružanje podrške evropskoj poljoprivredi, omogućavanje prosperitetnih ruralnih područja i proizvodnju visokokvalitetne hrane.</w:t>
      </w:r>
    </w:p>
    <w:p w14:paraId="465A4225" w14:textId="77777777" w:rsidR="00CD740B" w:rsidRPr="00CD740B" w:rsidRDefault="00CD740B" w:rsidP="00CD74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Predlozi Komisije posebno se fokusiraju </w:t>
      </w:r>
      <w:proofErr w:type="gramStart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na:</w:t>
      </w:r>
      <w:proofErr w:type="gramEnd"/>
    </w:p>
    <w:p w14:paraId="0FA850BF" w14:textId="341285D0" w:rsidR="00CD740B" w:rsidRPr="00CD740B" w:rsidRDefault="00CD740B" w:rsidP="00CD74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● obezb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eđivanje poštenog posla i stabilne ekonomske budućnosti za </w:t>
      </w:r>
      <w:proofErr w:type="gramStart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poljoprivrednike;</w:t>
      </w:r>
      <w:proofErr w:type="gramEnd"/>
    </w:p>
    <w:p w14:paraId="472E77EB" w14:textId="77777777" w:rsidR="00CD740B" w:rsidRPr="00CD740B" w:rsidRDefault="00CD740B" w:rsidP="00CD74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● postavljanje većih ambicija za ekološku i klimatsku </w:t>
      </w:r>
      <w:proofErr w:type="gramStart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akciju;</w:t>
      </w:r>
      <w:proofErr w:type="gramEnd"/>
    </w:p>
    <w:p w14:paraId="5CBB459D" w14:textId="2523DDAC" w:rsidR="00CD740B" w:rsidRPr="00CD740B" w:rsidRDefault="00CD740B" w:rsidP="00CD74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● </w:t>
      </w:r>
      <w:proofErr w:type="gramStart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očuvanje</w:t>
      </w:r>
      <w:proofErr w:type="gramEnd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položaja poljoprivrede u srcu evropskog društva.</w:t>
      </w:r>
      <w:r w:rsidR="00BF2A97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footnoteReference w:id="3"/>
      </w:r>
    </w:p>
    <w:p w14:paraId="4957C4D4" w14:textId="176A90AC" w:rsidR="00562DCA" w:rsidRDefault="00CD740B" w:rsidP="00CD74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Nova zajednička poljoprivredna politika trebalo bi da se gradi </w:t>
      </w:r>
      <w:proofErr w:type="gramStart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devet ključnih ciljeva, koji će poslužiti kao osnova na kojoj će zemlje EU dizajnirati svoje strateške planove ZPP.</w:t>
      </w:r>
    </w:p>
    <w:p w14:paraId="4726DACC" w14:textId="72301E8B" w:rsidR="00562DCA" w:rsidRDefault="00002736" w:rsidP="00002736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lastRenderedPageBreak/>
        <w:t xml:space="preserve">Slika </w:t>
      </w:r>
      <w:r w:rsidR="009F3B7E">
        <w:rPr>
          <w:i/>
          <w:color w:val="44546A"/>
          <w:sz w:val="18"/>
          <w:szCs w:val="18"/>
        </w:rPr>
        <w:t xml:space="preserve">3. </w:t>
      </w:r>
      <w:r>
        <w:rPr>
          <w:i/>
          <w:color w:val="44546A"/>
          <w:sz w:val="18"/>
          <w:szCs w:val="18"/>
        </w:rPr>
        <w:t xml:space="preserve">ZPP posebni ciljevi </w:t>
      </w:r>
      <w:proofErr w:type="gramStart"/>
      <w:r>
        <w:rPr>
          <w:i/>
          <w:color w:val="44546A"/>
          <w:sz w:val="18"/>
          <w:szCs w:val="18"/>
        </w:rPr>
        <w:t xml:space="preserve">za </w:t>
      </w:r>
      <w:r w:rsidR="009F3B7E">
        <w:rPr>
          <w:i/>
          <w:color w:val="44546A"/>
          <w:sz w:val="18"/>
          <w:szCs w:val="18"/>
        </w:rPr>
        <w:t xml:space="preserve"> 2021</w:t>
      </w:r>
      <w:proofErr w:type="gramEnd"/>
      <w:r w:rsidR="009F3B7E">
        <w:rPr>
          <w:i/>
          <w:color w:val="44546A"/>
          <w:sz w:val="18"/>
          <w:szCs w:val="18"/>
        </w:rPr>
        <w:t>-27</w:t>
      </w:r>
    </w:p>
    <w:p w14:paraId="38A49F86" w14:textId="77777777" w:rsidR="00562DCA" w:rsidRDefault="009F3B7E">
      <w:pPr>
        <w:keepNext/>
        <w:spacing w:line="240" w:lineRule="auto"/>
        <w:jc w:val="both"/>
      </w:pPr>
      <w:r>
        <w:rPr>
          <w:noProof/>
          <w:lang w:val="en-US" w:eastAsia="en-US"/>
        </w:rPr>
        <w:drawing>
          <wp:inline distT="0" distB="0" distL="0" distR="0" wp14:anchorId="4842A362" wp14:editId="3F82B7D3">
            <wp:extent cx="4935001" cy="370125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5001" cy="3701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88A23C" w14:textId="6BE01574" w:rsidR="00562DCA" w:rsidRDefault="00EE6C8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Izvor: Evropska Komisija</w:t>
      </w:r>
    </w:p>
    <w:p w14:paraId="7AC4A75E" w14:textId="77777777" w:rsidR="00562DCA" w:rsidRDefault="00562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5BD9A" w14:textId="6DA2495D" w:rsidR="00562DCA" w:rsidRDefault="00BD3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BIODIVERZITET</w:t>
      </w:r>
    </w:p>
    <w:p w14:paraId="27AA01B1" w14:textId="40BBCC88" w:rsidR="00BD36A3" w:rsidRPr="00BD36A3" w:rsidRDefault="00BD36A3" w:rsidP="00BD3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Prema FAO definiciji, poljoprivredni biodiverzitet uključuje komponente biološke raznolikosti koje su </w:t>
      </w:r>
      <w:proofErr w:type="gramStart"/>
      <w:r w:rsidRPr="00BD36A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 suštinskog značaja za ishranu ljudske populacije i poboljšanje kvaliteta života. Zasnovan je </w:t>
      </w:r>
      <w:proofErr w:type="gramStart"/>
      <w:r w:rsidRPr="00BD36A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 raznolikosti i promenljivosti ekosistema, životinja, biljaka i mikroorganizama, na genetskom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nivou</w:t>
      </w:r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nivou </w:t>
      </w:r>
      <w:r w:rsidRPr="00BD36A3">
        <w:rPr>
          <w:rFonts w:ascii="Times New Roman" w:eastAsia="Times New Roman" w:hAnsi="Times New Roman" w:cs="Times New Roman"/>
          <w:sz w:val="24"/>
          <w:szCs w:val="24"/>
        </w:rPr>
        <w:t>vrsta i nivoima ekosistema, koji su neophodni za održavanje čov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D36A3">
        <w:rPr>
          <w:rFonts w:ascii="Times New Roman" w:eastAsia="Times New Roman" w:hAnsi="Times New Roman" w:cs="Times New Roman"/>
          <w:sz w:val="24"/>
          <w:szCs w:val="24"/>
        </w:rPr>
        <w:t>ekovog života kao i ključnih funkcija ekosistema.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14:paraId="400FA1A5" w14:textId="6BDAB76D" w:rsidR="00BD36A3" w:rsidRPr="00BD36A3" w:rsidRDefault="00BD36A3" w:rsidP="00BD3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Očuvanje biodiverziteta važan je element poljoprivrednih strategija EU i jedan </w:t>
      </w:r>
      <w:proofErr w:type="gramStart"/>
      <w:r w:rsidRPr="00BD36A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 prioriteta novog Zelenog </w:t>
      </w:r>
      <w:r>
        <w:rPr>
          <w:rFonts w:ascii="Times New Roman" w:eastAsia="Times New Roman" w:hAnsi="Times New Roman" w:cs="Times New Roman"/>
          <w:sz w:val="24"/>
          <w:szCs w:val="24"/>
        </w:rPr>
        <w:t>dogovora</w:t>
      </w:r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. Stoga je strategija za biodiverzitet do 2030. </w:t>
      </w:r>
      <w:proofErr w:type="gramStart"/>
      <w:r w:rsidRPr="00BD36A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 stvorena kao napor da se ojača očuvanje biodiverziteta i zaustavi gubitak biodiverziteta u Evropskoj uniji.</w:t>
      </w:r>
    </w:p>
    <w:p w14:paraId="32B90637" w14:textId="4F9AAD2D" w:rsidR="00BD36A3" w:rsidRPr="00BD36A3" w:rsidRDefault="00BD36A3" w:rsidP="00BD3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Ključne obaveze koje su uključene u strategiju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treba dostići </w:t>
      </w:r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do 2030. </w:t>
      </w:r>
      <w:proofErr w:type="gramStart"/>
      <w:r w:rsidRPr="00BD36A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BD36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304C8F" w14:textId="1E1859AF" w:rsidR="00BD36A3" w:rsidRPr="00BD36A3" w:rsidRDefault="00BD36A3" w:rsidP="00BD3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A3">
        <w:rPr>
          <w:rFonts w:ascii="Times New Roman" w:eastAsia="Times New Roman" w:hAnsi="Times New Roman" w:cs="Times New Roman"/>
          <w:sz w:val="24"/>
          <w:szCs w:val="24"/>
        </w:rPr>
        <w:t>1. Pravno zaštititi najmanje 30% kopnene površine EU i 30% morskog područja EU i integrisati ekološke koridore, kao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36A3">
        <w:rPr>
          <w:rFonts w:ascii="Times New Roman" w:eastAsia="Times New Roman" w:hAnsi="Times New Roman" w:cs="Times New Roman"/>
          <w:sz w:val="24"/>
          <w:szCs w:val="24"/>
        </w:rPr>
        <w:t>o istinske transevropske mreže prirode.</w:t>
      </w:r>
    </w:p>
    <w:p w14:paraId="7AF60F51" w14:textId="40D7C288" w:rsidR="00BD36A3" w:rsidRPr="00BD36A3" w:rsidRDefault="00BD36A3" w:rsidP="00BD3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A3">
        <w:rPr>
          <w:rFonts w:ascii="Times New Roman" w:eastAsia="Times New Roman" w:hAnsi="Times New Roman" w:cs="Times New Roman"/>
          <w:sz w:val="24"/>
          <w:szCs w:val="24"/>
        </w:rPr>
        <w:t>2. Strogo zaštitit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 najmanje trećinu zaštićenih područja EU, uključujući sve preostale primarne i stare šume EU</w:t>
      </w:r>
    </w:p>
    <w:p w14:paraId="1594DB07" w14:textId="0FDA0693" w:rsidR="00BD36A3" w:rsidRDefault="00BD36A3" w:rsidP="00BD3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6A3">
        <w:rPr>
          <w:rFonts w:ascii="Times New Roman" w:eastAsia="Times New Roman" w:hAnsi="Times New Roman" w:cs="Times New Roman"/>
          <w:sz w:val="24"/>
          <w:szCs w:val="24"/>
        </w:rPr>
        <w:lastRenderedPageBreak/>
        <w:t>3. Efikasno upravljati svim zaštićenim područjima, definišući jasne ciljeve i m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ere zaštite i </w:t>
      </w:r>
      <w:proofErr w:type="gramStart"/>
      <w:r w:rsidRPr="00BD36A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BD36A3">
        <w:rPr>
          <w:rFonts w:ascii="Times New Roman" w:eastAsia="Times New Roman" w:hAnsi="Times New Roman" w:cs="Times New Roman"/>
          <w:sz w:val="24"/>
          <w:szCs w:val="24"/>
        </w:rPr>
        <w:t xml:space="preserve"> odgovarajući način ih nadgledati.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14:paraId="3948BFE4" w14:textId="77777777" w:rsidR="00BD36A3" w:rsidRDefault="00BD36A3" w:rsidP="00BD3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22951" w14:textId="191660A7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>Najmanje 20 milijardi evra godišnje biće otključano kako bi se ispunili ciljevi ove strategije, uključujući prioritete ulaganja za Naturu 2000 i zelenu infrastrukturu. Štaviše, kako će obnova prirode dati glavni doprinos klimatskim ciljevima, značajan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F090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3F090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F090D">
        <w:rPr>
          <w:rFonts w:ascii="Times New Roman" w:eastAsia="Times New Roman" w:hAnsi="Times New Roman" w:cs="Times New Roman"/>
          <w:sz w:val="24"/>
          <w:szCs w:val="24"/>
        </w:rPr>
        <w:t xml:space="preserve"> 25% budžeta EU nam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F090D">
        <w:rPr>
          <w:rFonts w:ascii="Times New Roman" w:eastAsia="Times New Roman" w:hAnsi="Times New Roman" w:cs="Times New Roman"/>
          <w:sz w:val="24"/>
          <w:szCs w:val="24"/>
        </w:rPr>
        <w:t>enjenog klimatskim akcijama biće uložen u biodiverzitet i r</w:t>
      </w:r>
      <w:r>
        <w:rPr>
          <w:rFonts w:ascii="Times New Roman" w:eastAsia="Times New Roman" w:hAnsi="Times New Roman" w:cs="Times New Roman"/>
          <w:sz w:val="24"/>
          <w:szCs w:val="24"/>
        </w:rPr>
        <w:t>ješenja zasnovana na prirodi.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14:paraId="4047F6CC" w14:textId="01E956DF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 xml:space="preserve">Da bi ojačala održivo upravljanje prirodnim resursima, Poljska je razvila Program ruralnog razvoja. </w:t>
      </w:r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Ukupan budžet programa za period 2014-2020.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>znosio</w:t>
      </w:r>
      <w:proofErr w:type="gramEnd"/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je 13,5 milijardi EUR, a osnovala ga je EU. Novi PRP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(RDP-engl)</w:t>
      </w:r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za period 2021-27 takođe će staviti veliki naglasak na zaštitu životne sredine i biodiverziteta. Ostale m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>ere PRP-a, poput organske poljoprivrede, učešća farmera u sistemima kvaliteta hrane, kao i obrazovanje poljoprivrednika i oblikovanje ekološke sv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ij</w:t>
      </w:r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>esti kroz odgovarajuće odabrane programe obuke, takođe mogu doprin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>eti održavanju i povećanju biodiverziteta.</w:t>
      </w:r>
    </w:p>
    <w:p w14:paraId="23D3B8F1" w14:textId="77777777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Trenutni instrumenti poljoprivredne politike koji podržavaju biodiverzitet u Poljskoj </w:t>
      </w:r>
      <w:proofErr w:type="gramStart"/>
      <w:r w:rsidRPr="003F090D">
        <w:rPr>
          <w:rFonts w:ascii="Times New Roman" w:eastAsia="Times New Roman" w:hAnsi="Times New Roman" w:cs="Times New Roman"/>
          <w:sz w:val="24"/>
          <w:szCs w:val="24"/>
          <w:lang w:val="fr-FR"/>
        </w:rPr>
        <w:t>uključuju:</w:t>
      </w:r>
      <w:proofErr w:type="gramEnd"/>
    </w:p>
    <w:p w14:paraId="0C6ABE4F" w14:textId="77777777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>• Strategija zaštite biodiverziteta do 2020.</w:t>
      </w:r>
    </w:p>
    <w:p w14:paraId="76139E7C" w14:textId="77777777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 xml:space="preserve">• Program zaštite i održivog korišćenja biološke raznolikosti </w:t>
      </w:r>
      <w:proofErr w:type="gramStart"/>
      <w:r w:rsidRPr="003F090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F090D">
        <w:rPr>
          <w:rFonts w:ascii="Times New Roman" w:eastAsia="Times New Roman" w:hAnsi="Times New Roman" w:cs="Times New Roman"/>
          <w:sz w:val="24"/>
          <w:szCs w:val="24"/>
        </w:rPr>
        <w:t xml:space="preserve"> Akcionim planom za 2015-2020.</w:t>
      </w:r>
    </w:p>
    <w:p w14:paraId="69B3E751" w14:textId="77777777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 xml:space="preserve">• Strategija održivog razvoja Poljske do 2025. </w:t>
      </w:r>
      <w:proofErr w:type="gramStart"/>
      <w:r w:rsidRPr="003F090D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3F090D">
        <w:rPr>
          <w:rFonts w:ascii="Times New Roman" w:eastAsia="Times New Roman" w:hAnsi="Times New Roman" w:cs="Times New Roman"/>
          <w:sz w:val="24"/>
          <w:szCs w:val="24"/>
        </w:rPr>
        <w:t xml:space="preserve"> (1999).</w:t>
      </w:r>
    </w:p>
    <w:p w14:paraId="35BDFA66" w14:textId="77777777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>• Direktive Evropske unije: »Direktiva o pticama» Direktiva o staništima.</w:t>
      </w:r>
    </w:p>
    <w:p w14:paraId="543BEB14" w14:textId="77777777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>• Natura 2000 mreža.</w:t>
      </w:r>
    </w:p>
    <w:p w14:paraId="19B637CF" w14:textId="77777777" w:rsidR="003F090D" w:rsidRP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>• Zajednička poljoprivredna politika: »standardi i zahtevi za unakrsnu usklađenost» ozelenjavanje.</w:t>
      </w:r>
    </w:p>
    <w:p w14:paraId="4003004C" w14:textId="77777777" w:rsid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0D">
        <w:rPr>
          <w:rFonts w:ascii="Times New Roman" w:eastAsia="Times New Roman" w:hAnsi="Times New Roman" w:cs="Times New Roman"/>
          <w:sz w:val="24"/>
          <w:szCs w:val="24"/>
        </w:rPr>
        <w:t>• Program ruralnog razvoja: »Agro-ekološko-klimatske m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F090D">
        <w:rPr>
          <w:rFonts w:ascii="Times New Roman" w:eastAsia="Times New Roman" w:hAnsi="Times New Roman" w:cs="Times New Roman"/>
          <w:sz w:val="24"/>
          <w:szCs w:val="24"/>
        </w:rPr>
        <w:t>ere» Organska poljoprivreda.</w:t>
      </w:r>
    </w:p>
    <w:p w14:paraId="07775DE2" w14:textId="77777777" w:rsidR="003F090D" w:rsidRDefault="003F090D" w:rsidP="003F09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E806C" w14:textId="56F2C1E9" w:rsidR="00062106" w:rsidRPr="00062106" w:rsidRDefault="00062106" w:rsidP="000621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Važno je naglasiti da se do </w:t>
      </w:r>
      <w:proofErr w:type="gramStart"/>
      <w:r w:rsidRPr="00062106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gramEnd"/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 poljska poljoprivreda u velikoj meri odlikuje raspadom na veliki broj malih farmi, na kojima se još uv</w:t>
      </w:r>
      <w:r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ek koriste tradicionalni načini poljoprivrede. Ove farme su često odvojene brojnim trakama heterogene prirodne vegetacije. Stoga je biološka raznolikost poljskih ruralnih područja među najbogatijim u c</w:t>
      </w:r>
      <w:r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eloj Evropi.</w:t>
      </w:r>
    </w:p>
    <w:p w14:paraId="69318D31" w14:textId="406BE94E" w:rsidR="00062106" w:rsidRPr="00062106" w:rsidRDefault="00062106" w:rsidP="000621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06">
        <w:rPr>
          <w:rFonts w:ascii="Times New Roman" w:eastAsia="Times New Roman" w:hAnsi="Times New Roman" w:cs="Times New Roman"/>
          <w:sz w:val="24"/>
          <w:szCs w:val="24"/>
        </w:rPr>
        <w:t>Druga jedinstvena karakteristika poljske poljoprivrede je postojanje lokalnih rasa stoke (</w:t>
      </w:r>
      <w:proofErr w:type="gramStart"/>
      <w:r w:rsidRPr="00062106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gramEnd"/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. Poljska crvena goveda,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poljska 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ovc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, poljski konj, kokoši zelenih nogu). Životinje starih rasa usp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ele su da prežive zahvaljujući širokoj rasprostranjenosti. To su životinje koje su, iako u mnogim slučajevima manje produktivne, obično bolje prilagođene lokalnim uslovima.</w:t>
      </w:r>
    </w:p>
    <w:p w14:paraId="2D02889D" w14:textId="6F243FE0" w:rsidR="00062106" w:rsidRPr="00062106" w:rsidRDefault="00062106" w:rsidP="006150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06">
        <w:rPr>
          <w:rFonts w:ascii="Times New Roman" w:eastAsia="Times New Roman" w:hAnsi="Times New Roman" w:cs="Times New Roman"/>
          <w:sz w:val="24"/>
          <w:szCs w:val="24"/>
        </w:rPr>
        <w:t>Takođe stare sorte us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eva postaju sve popularnije, jer su vrlo otporne </w:t>
      </w:r>
      <w:proofErr w:type="gramStart"/>
      <w:r w:rsidRPr="000621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 bolesti i imaju skromne zaht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eve u pogledu tla. Vr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edi napomenuti da je velika količina starih sorti jabuka i dalje prisutna </w:t>
      </w:r>
      <w:proofErr w:type="gramStart"/>
      <w:r w:rsidRPr="000621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 tržištu i dobija na popularnosti. Većina ovih biljnih sorti može se usp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ešno uzgajati 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lastRenderedPageBreak/>
        <w:t>u jeftinim tehnologijama i ekološkim sistemima proizvodnje. Poljska promoviše gajenje starih sorti kao d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o podrške biodiverzitetu.</w:t>
      </w:r>
    </w:p>
    <w:p w14:paraId="3C148B76" w14:textId="6F814B6B" w:rsidR="00562DCA" w:rsidRDefault="00062106" w:rsidP="006150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Poljoprivredno-ekološka i klimatska akcija, sprovedena u okviru Programa ruralnog razvoja (RDP), promoviše vraćanje starih vrsta i lokalnih sorti biljaka u uzgoj, kao i njihovu širu upotrebu u društvu. Odgovarajući pristup očuvanju biljaka i životinjskih genetičkih resursa 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 xml:space="preserve">usko povezuje 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njihovo očuvanje u prirodnom okruženju u regionima </w:t>
      </w:r>
      <w:proofErr w:type="gramStart"/>
      <w:r w:rsidRPr="0006210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 njihovim por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eklom. Ova vrsta zaštite pomaže u očuvanju datog oblika </w:t>
      </w:r>
      <w:proofErr w:type="gramStart"/>
      <w:r w:rsidRPr="0006210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06210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estu por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ekla i nastavlja da prim</w:t>
      </w:r>
      <w:r w:rsidR="0061504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62106">
        <w:rPr>
          <w:rFonts w:ascii="Times New Roman" w:eastAsia="Times New Roman" w:hAnsi="Times New Roman" w:cs="Times New Roman"/>
          <w:sz w:val="24"/>
          <w:szCs w:val="24"/>
        </w:rPr>
        <w:t>enjuje tradicionalni metod uzgoja i selekcije koji je doveo do njegovog stvaranja.</w:t>
      </w:r>
    </w:p>
    <w:p w14:paraId="7F9EA507" w14:textId="77777777" w:rsidR="00070F3E" w:rsidRDefault="00070F3E" w:rsidP="006150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6F14D" w14:textId="69051876" w:rsidR="00562DCA" w:rsidRDefault="0019326F" w:rsidP="00193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INOVACIJE</w:t>
      </w:r>
      <w:r w:rsidR="009F3B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ISTRAŽIVAČKI CENTRI</w:t>
      </w:r>
    </w:p>
    <w:p w14:paraId="05D40319" w14:textId="77777777" w:rsidR="00562DCA" w:rsidRDefault="00562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C42858" w14:textId="5E8E5556" w:rsidR="00070F3E" w:rsidRPr="00070F3E" w:rsidRDefault="00070F3E" w:rsidP="00070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70F3E">
        <w:rPr>
          <w:rFonts w:ascii="Times New Roman" w:eastAsia="Times New Roman" w:hAnsi="Times New Roman" w:cs="Times New Roman"/>
          <w:sz w:val="24"/>
          <w:szCs w:val="24"/>
        </w:rPr>
        <w:t xml:space="preserve">Razvoj poljoprivrede kroz inovacije je </w:t>
      </w:r>
      <w:proofErr w:type="gramStart"/>
      <w:r w:rsidRPr="00070F3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70F3E">
        <w:rPr>
          <w:rFonts w:ascii="Times New Roman" w:eastAsia="Times New Roman" w:hAnsi="Times New Roman" w:cs="Times New Roman"/>
          <w:sz w:val="24"/>
          <w:szCs w:val="24"/>
        </w:rPr>
        <w:t xml:space="preserve"> suštinskog značaja za postizanje ekonomskog rasta i održivosti. </w:t>
      </w:r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>Tehnološka modernizacija poljske poljoprivrede postala je brza nakon ulaska u EU 2004. Tržište nudi poljoprivrednicima mnoga inovativna 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>ešenja kako bi njihov rad mogao da se poboljša. Poljoprivrednicima su na raspolaganju nove tehnologije i nove aktivne supstance.</w:t>
      </w:r>
    </w:p>
    <w:p w14:paraId="5F4CAC8E" w14:textId="77777777" w:rsidR="00070F3E" w:rsidRPr="00070F3E" w:rsidRDefault="00070F3E" w:rsidP="00070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>Međutim, inovacije u poljoprivredi mogu se shvatiti u širem smislu. Stoga se na tržište uvode nove rase i sorte, efikasnije i ekonomičnije za uzgoj (nova sorta se može registrovati samo kada je bolja od već registrovanih).</w:t>
      </w:r>
    </w:p>
    <w:p w14:paraId="1B84B5B4" w14:textId="349B45B9" w:rsidR="00070F3E" w:rsidRPr="00070F3E" w:rsidRDefault="00070F3E" w:rsidP="00070F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>U Poljskoj postoji nekoliko modernih istraživačkih i akademskih centara koji se bave temom poljoprivrede i razvijaju inovativna poljoprivredna 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ešenja. Najvažniji </w:t>
      </w:r>
      <w:proofErr w:type="gramStart"/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>su:</w:t>
      </w:r>
      <w:proofErr w:type="gramEnd"/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Institut za nauku o zemlji i uzgoju biljaka (IUNG), Institut za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uzgoj</w:t>
      </w:r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aklimatizaciju biljaka (IHAR), Institut za tehnologiju i nauke o životu (ITP) i Institut za zaštitu bilja. Svi pomenuti su aktivno uključeni u naučne i istraživačke aktivnosti na nacionalnom i međunarodnom nivou. Razvijaju projekte koji se sprovode u okviru Okvirnog programa EU za istraživanje i inovacije Horizont 2020. „Ka klimatski pametnom održivom upravljanju poljoprivrednim zemljištima (2020.-2025.</w:t>
      </w:r>
      <w:proofErr w:type="gramStart"/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proofErr w:type="gramEnd"/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>“, „Tematska mreža upravljanja hranjivim sastojcima i oporavak hranljivih sastojaka“, „Nove strategije o bio-ekonomiji u Poljskoj “,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70F3E">
        <w:rPr>
          <w:rFonts w:ascii="Times New Roman" w:eastAsia="Times New Roman" w:hAnsi="Times New Roman" w:cs="Times New Roman"/>
          <w:sz w:val="24"/>
          <w:szCs w:val="24"/>
          <w:lang w:val="fr-FR"/>
        </w:rPr>
        <w:t>„ Poboljšanje stabilnosti visokokvalitetnih osobina jagodičastog voća u različitim okruženjima i sistemima gajenja u korist evropskih farmera i potrošača “- ovo su najnoviji kojima je dodeljen grant za istraživanje u okviru programa.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fr-FR"/>
        </w:rPr>
        <w:footnoteReference w:id="7"/>
      </w:r>
    </w:p>
    <w:p w14:paraId="6CE3421B" w14:textId="77995AC3" w:rsidR="00562DCA" w:rsidRPr="00C761BD" w:rsidRDefault="00070F3E" w:rsidP="00C8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Iako Poljska ima veliki istraživački potencijal - izvrsn</w:t>
      </w:r>
      <w:r w:rsid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poljoprivredn</w:t>
      </w:r>
      <w:r w:rsid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univerzitet</w:t>
      </w:r>
      <w:r w:rsid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jak</w:t>
      </w:r>
      <w:r w:rsid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istraživačk</w:t>
      </w:r>
      <w:r w:rsid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centr</w:t>
      </w:r>
      <w:r w:rsid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, koji d</w:t>
      </w:r>
      <w:r w:rsidR="00C761BD"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eluju u oblastima nauke kao što su veterina, zaštita hrane i zaštita životne sredine - samo oko 1% BDP-a se troši na naučna istraživanja. Poboljšanje konkurentnosti poljoprivredno-prehrambenog sektora, posebno prerade, i njegovo prilagođavanje rastućim zaht</w:t>
      </w:r>
      <w:r w:rsidR="00C761BD"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evima tržišta neophodan je </w:t>
      </w:r>
      <w:proofErr w:type="gramStart"/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put</w:t>
      </w:r>
      <w:proofErr w:type="gramEnd"/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koji će poljska poljoprivreda voditi kako bi ostala jedan od vodećih dobavljača hrane u Evropskoj uniji. Tehnološki nivo odrediće konkurentnost poljske poljoprivrede u narednim godinama. To je posebno važno za poljski poljoprivredni sektor sa velikim ud</w:t>
      </w:r>
      <w:r w:rsidR="00C761BD"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elom </w:t>
      </w:r>
      <w:r w:rsid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izdjeljenih 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farmi - definitivno bi moglo imati koristi od modernizacije svojih </w:t>
      </w:r>
      <w:r w:rsidR="00C877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ranijih i kasnijih faza 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>industrij</w:t>
      </w:r>
      <w:r w:rsidR="00C877EB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761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putem pametnih strategija specijalizacije</w:t>
      </w:r>
      <w:r w:rsidR="00C877E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56BF53A" w14:textId="77777777" w:rsidR="00562DCA" w:rsidRPr="00C761BD" w:rsidRDefault="00562DC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9AB8FCD" w14:textId="77777777" w:rsidR="00562DCA" w:rsidRPr="00C761BD" w:rsidRDefault="009F3B7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761BD">
        <w:rPr>
          <w:lang w:val="fr-FR"/>
        </w:rPr>
        <w:br w:type="page"/>
      </w:r>
    </w:p>
    <w:p w14:paraId="45B8B497" w14:textId="77777777" w:rsidR="00562DCA" w:rsidRPr="00C761BD" w:rsidRDefault="00562DC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F4EE47" w14:textId="373F1151" w:rsidR="00562DCA" w:rsidRPr="003570DC" w:rsidRDefault="009F3B7E" w:rsidP="003570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proofErr w:type="gramStart"/>
      <w:r w:rsidRPr="003570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Bibliogra</w:t>
      </w:r>
      <w:r w:rsidR="003570DC" w:rsidRPr="003570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fija</w:t>
      </w:r>
      <w:r w:rsidRPr="003570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:</w:t>
      </w:r>
      <w:proofErr w:type="gramEnd"/>
    </w:p>
    <w:p w14:paraId="24660970" w14:textId="45F2D996" w:rsidR="00562DCA" w:rsidRPr="003570DC" w:rsidRDefault="009F3B7E" w:rsidP="003570DC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proofErr w:type="gramStart"/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NCBR:</w:t>
      </w:r>
      <w:proofErr w:type="gramEnd"/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100 mln zł na rozwój rolnictwa 4.0” [online] https://www.ncbr.gov.pl/o-centrum/aktualnosci/szczegoly-aktualnosci/news/ncbr-100-mln-zl-na-rozwoj-rolnictwa-40-64489/ [</w:t>
      </w:r>
      <w:proofErr w:type="gramStart"/>
      <w:r w:rsidR="003570DC"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pristupljeno</w:t>
      </w:r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14.12.2020]</w:t>
      </w:r>
    </w:p>
    <w:p w14:paraId="7984D9E3" w14:textId="4C2A294D" w:rsidR="00562DCA" w:rsidRPr="003570DC" w:rsidRDefault="009F3B7E" w:rsidP="003570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„</w:t>
      </w:r>
      <w:proofErr w:type="gramStart"/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Poland:</w:t>
      </w:r>
      <w:proofErr w:type="gramEnd"/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{Polska}” [online] https://www.eitfood.eu/in-your-country/country/poland [</w:t>
      </w:r>
      <w:r w:rsidR="003570DC"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pristupljeno</w:t>
      </w:r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: 14.12.2020]</w:t>
      </w:r>
    </w:p>
    <w:p w14:paraId="78A7CF40" w14:textId="171BD999" w:rsidR="00562DCA" w:rsidRPr="003570DC" w:rsidRDefault="009F3B7E" w:rsidP="003570D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European Commission [online] https://ec.europa.eu/info/index_en [</w:t>
      </w:r>
      <w:proofErr w:type="gramStart"/>
      <w:r w:rsidR="003570DC"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pristupljeno</w:t>
      </w:r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14.12]</w:t>
      </w:r>
    </w:p>
    <w:p w14:paraId="58C6B8C5" w14:textId="77777777" w:rsidR="00562DCA" w:rsidRDefault="009F3B7E">
      <w:pPr>
        <w:spacing w:before="280" w:after="28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Fundacja Ziemia i Ludzie (2016)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Bioróżnorodność obszarów wiejskich. Dobre praktyki rolnicze</w:t>
      </w:r>
    </w:p>
    <w:p w14:paraId="5AAB3468" w14:textId="77777777" w:rsidR="00562DCA" w:rsidRDefault="009F3B7E">
      <w:pPr>
        <w:spacing w:before="280" w:after="2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Institute of Agricultural and Food Economics (2015)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Agriculture and Food Economy in Poland</w:t>
      </w:r>
    </w:p>
    <w:p w14:paraId="750667A0" w14:textId="5DD059E9" w:rsidR="00562DCA" w:rsidRDefault="009F3B7E" w:rsidP="003570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Ptak-Iglewska Aleksandra “Innowacje napędzają rozwój produkcji rolnej” [online]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https://www.rp.pl/Rolnictwo/305279916-Innowacje-napedzaja--rozwoj-produkcji-rolnej.html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3570DC" w:rsidRPr="003570DC">
        <w:rPr>
          <w:rFonts w:ascii="Times New Roman" w:eastAsia="Times New Roman" w:hAnsi="Times New Roman" w:cs="Times New Roman"/>
          <w:sz w:val="24"/>
          <w:szCs w:val="24"/>
          <w:lang w:val="fr-FR"/>
        </w:rPr>
        <w:t>pristupljeno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 14.12.2020]</w:t>
      </w:r>
    </w:p>
    <w:p w14:paraId="11C249E8" w14:textId="77777777" w:rsidR="00562DCA" w:rsidRDefault="009F3B7E">
      <w:pPr>
        <w:spacing w:before="28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Ministry of Agriculture and Rural Development (2019)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 practices with an impact on the development of rural areas</w:t>
      </w:r>
    </w:p>
    <w:sectPr w:rsidR="00562D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5502" w14:textId="77777777" w:rsidR="00827DFB" w:rsidRDefault="00827DFB">
      <w:pPr>
        <w:spacing w:after="0" w:line="240" w:lineRule="auto"/>
      </w:pPr>
      <w:r>
        <w:separator/>
      </w:r>
    </w:p>
  </w:endnote>
  <w:endnote w:type="continuationSeparator" w:id="0">
    <w:p w14:paraId="05EF5253" w14:textId="77777777" w:rsidR="00827DFB" w:rsidRDefault="0082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F2A5" w14:textId="77777777" w:rsidR="00827DFB" w:rsidRDefault="00827DFB">
      <w:pPr>
        <w:spacing w:after="0" w:line="240" w:lineRule="auto"/>
      </w:pPr>
      <w:r>
        <w:separator/>
      </w:r>
    </w:p>
  </w:footnote>
  <w:footnote w:type="continuationSeparator" w:id="0">
    <w:p w14:paraId="22849C0D" w14:textId="77777777" w:rsidR="00827DFB" w:rsidRDefault="00827DFB">
      <w:pPr>
        <w:spacing w:after="0" w:line="240" w:lineRule="auto"/>
      </w:pPr>
      <w:r>
        <w:continuationSeparator/>
      </w:r>
    </w:p>
  </w:footnote>
  <w:footnote w:id="1">
    <w:p w14:paraId="554A1B67" w14:textId="13817AFE" w:rsidR="00BF2A97" w:rsidRPr="00BF2A97" w:rsidRDefault="00BF2A9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https://ec.europa.eu/info/food-farming-fisheries/sustainability/sustainable-cap_en</w:t>
      </w:r>
    </w:p>
  </w:footnote>
  <w:footnote w:id="2">
    <w:p w14:paraId="5DE62F95" w14:textId="135462C1" w:rsidR="002822A7" w:rsidRPr="002822A7" w:rsidRDefault="002822A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2822A7">
        <w:rPr>
          <w:lang w:val="bs-Latn-BA"/>
        </w:rPr>
        <w:t xml:space="preserve"> </w:t>
      </w:r>
      <w:r w:rsidRPr="002822A7">
        <w:rPr>
          <w:color w:val="000000"/>
          <w:lang w:val="bs-Latn-BA"/>
        </w:rPr>
        <w:t>https://ec.europa.eu/info/food-farming-fisheries/key-policies/common-agricultural-policy/cap-glance_en</w:t>
      </w:r>
    </w:p>
  </w:footnote>
  <w:footnote w:id="3">
    <w:p w14:paraId="6BFBD28B" w14:textId="0B7F17B2" w:rsidR="00BF2A97" w:rsidRPr="00BF2A97" w:rsidRDefault="00BF2A9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2822A7">
        <w:rPr>
          <w:lang w:val="bs-Latn-BA"/>
        </w:rPr>
        <w:t xml:space="preserve"> </w:t>
      </w:r>
      <w:r w:rsidRPr="002822A7">
        <w:rPr>
          <w:color w:val="000000"/>
          <w:lang w:val="bs-Latn-BA"/>
        </w:rPr>
        <w:t>https://ec.europa.eu/info/food-farming-fisheries/key-policies/common-agricultural-policy/future-cap_en</w:t>
      </w:r>
    </w:p>
  </w:footnote>
  <w:footnote w:id="4">
    <w:p w14:paraId="7FA241AA" w14:textId="6B394A08" w:rsidR="00BD36A3" w:rsidRPr="00BD36A3" w:rsidRDefault="00BD36A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BD36A3">
        <w:rPr>
          <w:lang w:val="bs-Latn-BA"/>
        </w:rPr>
        <w:t xml:space="preserve"> </w:t>
      </w:r>
      <w:r w:rsidRPr="00BD36A3">
        <w:rPr>
          <w:rFonts w:ascii="Times New Roman" w:eastAsia="Times New Roman" w:hAnsi="Times New Roman" w:cs="Times New Roman"/>
          <w:color w:val="000000"/>
          <w:lang w:val="bs-Latn-BA"/>
        </w:rPr>
        <w:t>http://www.fao.org/agriculture/crops/thematic-sitemap/theme/compendium/tools-guidelines/what-is-agricultural-biodiversity/en/</w:t>
      </w:r>
    </w:p>
  </w:footnote>
  <w:footnote w:id="5">
    <w:p w14:paraId="3A3AFE02" w14:textId="358D5624" w:rsidR="00BD36A3" w:rsidRPr="00BD36A3" w:rsidRDefault="00BD36A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BD36A3">
        <w:rPr>
          <w:lang w:val="bs-Latn-BA"/>
        </w:rPr>
        <w:t xml:space="preserve"> </w:t>
      </w:r>
      <w:r w:rsidRPr="00BD36A3">
        <w:rPr>
          <w:color w:val="000000"/>
          <w:lang w:val="bs-Latn-BA"/>
        </w:rPr>
        <w:t>https://eur-lex.europa.eu/resource.html?uri=cellar:a3c806a6-9ab3-11ea-9d2d-01aa75ed71a1.0001.02/DOC_1&amp;format=PDF</w:t>
      </w:r>
    </w:p>
  </w:footnote>
  <w:footnote w:id="6">
    <w:p w14:paraId="0A86B533" w14:textId="681A8691" w:rsidR="003F090D" w:rsidRPr="003F090D" w:rsidRDefault="003F090D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3F090D">
        <w:rPr>
          <w:lang w:val="bs-Latn-BA"/>
        </w:rPr>
        <w:t xml:space="preserve"> </w:t>
      </w:r>
      <w:r w:rsidRPr="003F090D">
        <w:rPr>
          <w:color w:val="000000"/>
          <w:lang w:val="bs-Latn-BA"/>
        </w:rPr>
        <w:t>https://eur-lex.europa.eu/resource.html?uri=cellar:a3c806a6-9ab3-11ea-9d2d-01aa75ed71a1.0001.02/DOC_1&amp;format=PDF</w:t>
      </w:r>
    </w:p>
  </w:footnote>
  <w:footnote w:id="7">
    <w:p w14:paraId="11C81373" w14:textId="77777777" w:rsidR="00070F3E" w:rsidRPr="00070F3E" w:rsidRDefault="00070F3E" w:rsidP="00070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s-Latn-BA"/>
        </w:rPr>
      </w:pPr>
      <w:r>
        <w:rPr>
          <w:rStyle w:val="FootnoteReference"/>
        </w:rPr>
        <w:footnoteRef/>
      </w:r>
      <w:r w:rsidRPr="00070F3E">
        <w:rPr>
          <w:lang w:val="bs-Latn-BA"/>
        </w:rPr>
        <w:t xml:space="preserve"> </w:t>
      </w:r>
      <w:r w:rsidRPr="00070F3E">
        <w:rPr>
          <w:rFonts w:ascii="Times New Roman" w:eastAsia="Times New Roman" w:hAnsi="Times New Roman" w:cs="Times New Roman"/>
          <w:color w:val="000000"/>
          <w:sz w:val="20"/>
          <w:szCs w:val="20"/>
          <w:lang w:val="bs-Latn-BA"/>
        </w:rPr>
        <w:t>http://www.inhort.pl/projety-badawcze/horyzont-2020</w:t>
      </w:r>
    </w:p>
    <w:p w14:paraId="43CE9D4D" w14:textId="439EEB88" w:rsidR="00070F3E" w:rsidRPr="00070F3E" w:rsidRDefault="00070F3E" w:rsidP="00070F3E">
      <w:pPr>
        <w:pStyle w:val="FootnoteText"/>
        <w:rPr>
          <w:lang w:val="bs-Latn-BA"/>
        </w:rPr>
      </w:pPr>
      <w:r>
        <w:rPr>
          <w:rFonts w:ascii="Times New Roman" w:eastAsia="Times New Roman" w:hAnsi="Times New Roman" w:cs="Times New Roman"/>
          <w:color w:val="000000"/>
        </w:rPr>
        <w:t>http://www.iung.pulawy.pl/eng/index.php?option=com_content&amp;view=article&amp;id=113&amp;Itemid=77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6A2"/>
    <w:multiLevelType w:val="multilevel"/>
    <w:tmpl w:val="51C44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6C04043"/>
    <w:multiLevelType w:val="multilevel"/>
    <w:tmpl w:val="2606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71E6C33"/>
    <w:multiLevelType w:val="multilevel"/>
    <w:tmpl w:val="59907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CA"/>
    <w:rsid w:val="00002736"/>
    <w:rsid w:val="00062106"/>
    <w:rsid w:val="00070F3E"/>
    <w:rsid w:val="0019326F"/>
    <w:rsid w:val="002822A7"/>
    <w:rsid w:val="003570DC"/>
    <w:rsid w:val="003F090D"/>
    <w:rsid w:val="004D70F2"/>
    <w:rsid w:val="00505CD3"/>
    <w:rsid w:val="00562DCA"/>
    <w:rsid w:val="005D3B96"/>
    <w:rsid w:val="00615041"/>
    <w:rsid w:val="00687115"/>
    <w:rsid w:val="006F4455"/>
    <w:rsid w:val="00827DFB"/>
    <w:rsid w:val="009F3B7E"/>
    <w:rsid w:val="00AB2242"/>
    <w:rsid w:val="00BD36A3"/>
    <w:rsid w:val="00BF2A97"/>
    <w:rsid w:val="00C761BD"/>
    <w:rsid w:val="00C877EB"/>
    <w:rsid w:val="00CD740B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897B"/>
  <w15:docId w15:val="{33F9619B-AF24-4CCB-BAD3-D5B704D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61F3-4829-4559-9796-5B713690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</dc:creator>
  <cp:lastModifiedBy>Windows User</cp:lastModifiedBy>
  <cp:revision>15</cp:revision>
  <dcterms:created xsi:type="dcterms:W3CDTF">2020-12-28T12:01:00Z</dcterms:created>
  <dcterms:modified xsi:type="dcterms:W3CDTF">2020-12-28T13:10:00Z</dcterms:modified>
</cp:coreProperties>
</file>